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76667" w14:textId="4F01287D" w:rsidR="009800CA" w:rsidRDefault="009800CA" w:rsidP="009800CA">
      <w:pPr>
        <w:pStyle w:val="berschrift3"/>
        <w:keepLines w:val="0"/>
        <w:spacing w:before="0" w:after="120"/>
        <w:jc w:val="center"/>
        <w:rPr>
          <w:rFonts w:asciiTheme="minorHAnsi" w:eastAsia="MS Mincho" w:hAnsiTheme="minorHAnsi" w:cstheme="minorHAnsi"/>
          <w:b/>
          <w:bCs/>
          <w:color w:val="auto"/>
          <w:sz w:val="22"/>
          <w:szCs w:val="22"/>
        </w:rPr>
      </w:pPr>
      <w:proofErr w:type="spellStart"/>
      <w:r>
        <w:rPr>
          <w:rFonts w:asciiTheme="minorHAnsi" w:eastAsia="MS Mincho" w:hAnsiTheme="minorHAnsi" w:cstheme="minorHAnsi"/>
          <w:b/>
          <w:bCs/>
          <w:color w:val="auto"/>
          <w:sz w:val="22"/>
          <w:szCs w:val="22"/>
        </w:rPr>
        <w:t>Anhang</w:t>
      </w:r>
      <w:proofErr w:type="spellEnd"/>
      <w:r>
        <w:rPr>
          <w:rFonts w:asciiTheme="minorHAnsi" w:eastAsia="MS Mincho" w:hAnsiTheme="minorHAnsi" w:cstheme="minorHAnsi"/>
          <w:b/>
          <w:bCs/>
          <w:color w:val="auto"/>
          <w:sz w:val="22"/>
          <w:szCs w:val="22"/>
        </w:rPr>
        <w:t xml:space="preserve"> 3 </w:t>
      </w:r>
      <w:r w:rsidRPr="009800CA">
        <w:rPr>
          <w:rFonts w:asciiTheme="minorHAnsi" w:eastAsia="MS Mincho" w:hAnsiTheme="minorHAnsi" w:cstheme="minorHAnsi"/>
          <w:b/>
          <w:bCs/>
          <w:color w:val="auto"/>
          <w:sz w:val="22"/>
          <w:szCs w:val="22"/>
        </w:rPr>
        <w:t xml:space="preserve">SCHEDULE B </w:t>
      </w:r>
      <w:r w:rsidR="00872159">
        <w:rPr>
          <w:rFonts w:asciiTheme="minorHAnsi" w:eastAsia="MS Mincho" w:hAnsiTheme="minorHAnsi" w:cstheme="minorHAnsi"/>
          <w:b/>
          <w:bCs/>
          <w:color w:val="auto"/>
          <w:sz w:val="22"/>
          <w:szCs w:val="22"/>
        </w:rPr>
        <w:t>–</w:t>
      </w:r>
      <w:r w:rsidRPr="009800CA">
        <w:rPr>
          <w:rFonts w:asciiTheme="minorHAnsi" w:eastAsia="MS Mincho" w:hAnsiTheme="minorHAnsi" w:cstheme="minorHAnsi"/>
          <w:b/>
          <w:bCs/>
          <w:color w:val="auto"/>
          <w:sz w:val="22"/>
          <w:szCs w:val="22"/>
        </w:rPr>
        <w:t xml:space="preserve"> FORM</w:t>
      </w:r>
    </w:p>
    <w:p w14:paraId="171780F5" w14:textId="77777777" w:rsidR="00872159" w:rsidRPr="00872159" w:rsidRDefault="00872159" w:rsidP="00872159"/>
    <w:p w14:paraId="27B054FE" w14:textId="77777777" w:rsidR="009800CA" w:rsidRDefault="009800CA" w:rsidP="009800CA">
      <w:pPr>
        <w:spacing w:after="4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Enrollment of New Agencies &amp; </w:t>
      </w:r>
      <w:r>
        <w:rPr>
          <w:rFonts w:asciiTheme="minorHAnsi" w:hAnsiTheme="minorHAnsi" w:cstheme="minorHAnsi"/>
          <w:b/>
          <w:sz w:val="22"/>
          <w:szCs w:val="22"/>
        </w:rPr>
        <w:br/>
        <w:t>Designate/Change Primary FME Support Provider</w:t>
      </w:r>
    </w:p>
    <w:p w14:paraId="32B95C95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By completing this form and signing below, the Agency agrees that:</w:t>
      </w:r>
    </w:p>
    <w:p w14:paraId="0C217E79" w14:textId="77777777" w:rsidR="009800CA" w:rsidRDefault="009800CA" w:rsidP="009800CA">
      <w:pPr>
        <w:pStyle w:val="Normalsubparagraph"/>
        <w:numPr>
          <w:ilvl w:val="0"/>
          <w:numId w:val="3"/>
        </w:num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it is participating or wishes to participate under the Agreement, and</w:t>
      </w:r>
    </w:p>
    <w:p w14:paraId="7BFDA03A" w14:textId="77777777" w:rsidR="009800CA" w:rsidRDefault="009800CA" w:rsidP="009800CA">
      <w:pPr>
        <w:pStyle w:val="Normalsubparagraph"/>
        <w:numPr>
          <w:ilvl w:val="0"/>
          <w:numId w:val="3"/>
        </w:num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it designates either Safe Software or the VAR indicated below as its primary FME software support provider.</w:t>
      </w:r>
    </w:p>
    <w:p w14:paraId="4BF8BAB8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Where the following words have the following meanings: </w:t>
      </w:r>
    </w:p>
    <w:p w14:paraId="2020032E" w14:textId="77777777" w:rsidR="009800CA" w:rsidRDefault="009800CA" w:rsidP="009800CA">
      <w:pPr>
        <w:pStyle w:val="Normalsubparagraph"/>
        <w:numPr>
          <w:ilvl w:val="0"/>
          <w:numId w:val="2"/>
        </w:num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hAnsiTheme="minorHAnsi" w:cstheme="minorHAnsi"/>
          <w:b/>
          <w:sz w:val="22"/>
          <w:szCs w:val="22"/>
        </w:rPr>
        <w:t>Agency</w:t>
      </w:r>
      <w:r>
        <w:rPr>
          <w:rFonts w:asciiTheme="minorHAnsi" w:hAnsiTheme="minorHAnsi" w:cstheme="minorHAnsi"/>
          <w:sz w:val="22"/>
          <w:szCs w:val="22"/>
        </w:rPr>
        <w:t xml:space="preserve">” means a Swiss government entity including all federal offices, cantons, cities and municipalities.  </w:t>
      </w:r>
    </w:p>
    <w:p w14:paraId="0726C97E" w14:textId="77777777" w:rsidR="009800CA" w:rsidRDefault="009800CA" w:rsidP="009800CA">
      <w:pPr>
        <w:pStyle w:val="Normalsubparagraph"/>
        <w:numPr>
          <w:ilvl w:val="0"/>
          <w:numId w:val="2"/>
        </w:numPr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hAnsiTheme="minorHAnsi" w:cstheme="minorHAnsi"/>
          <w:b/>
          <w:sz w:val="22"/>
          <w:szCs w:val="22"/>
        </w:rPr>
        <w:t>Agreement</w:t>
      </w:r>
      <w:r>
        <w:rPr>
          <w:rFonts w:asciiTheme="minorHAnsi" w:hAnsiTheme="minorHAnsi" w:cstheme="minorHAnsi"/>
          <w:sz w:val="22"/>
          <w:szCs w:val="22"/>
        </w:rPr>
        <w:t>” means the Enterprise License Agreement for FME Software that was signed between Safe Software Inc. and eOperations Schweiz AG and dated January 1, 2025.</w:t>
      </w:r>
    </w:p>
    <w:p w14:paraId="760C88B7" w14:textId="77777777" w:rsidR="009800CA" w:rsidRDefault="009800CA" w:rsidP="009800CA">
      <w:pPr>
        <w:pStyle w:val="Listenabsatz"/>
        <w:numPr>
          <w:ilvl w:val="0"/>
          <w:numId w:val="2"/>
        </w:numPr>
        <w:spacing w:after="120"/>
        <w:contextualSpacing w:val="0"/>
        <w:rPr>
          <w:rFonts w:cstheme="minorHAnsi"/>
        </w:rPr>
      </w:pPr>
      <w:r>
        <w:rPr>
          <w:rFonts w:cstheme="minorHAnsi"/>
        </w:rPr>
        <w:t>“</w:t>
      </w:r>
      <w:r>
        <w:rPr>
          <w:rFonts w:cstheme="minorHAnsi"/>
          <w:b/>
        </w:rPr>
        <w:t>VAR</w:t>
      </w:r>
      <w:r>
        <w:rPr>
          <w:rFonts w:cstheme="minorHAnsi"/>
        </w:rPr>
        <w:t xml:space="preserve">” means a value-added reseller that has been authorized by Safe Software to issue FME Software licenses and provide FME Software support and updates to Agencies. </w:t>
      </w:r>
    </w:p>
    <w:p w14:paraId="59E5B92F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4675"/>
      </w:tblGrid>
      <w:tr w:rsidR="009800CA" w14:paraId="6BA9209A" w14:textId="77777777" w:rsidTr="00155AB4">
        <w:tc>
          <w:tcPr>
            <w:tcW w:w="3823" w:type="dxa"/>
            <w:vAlign w:val="bottom"/>
          </w:tcPr>
          <w:p w14:paraId="5CFE1EB5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Name of Agency:</w:t>
            </w:r>
          </w:p>
        </w:tc>
        <w:tc>
          <w:tcPr>
            <w:tcW w:w="4675" w:type="dxa"/>
            <w:vAlign w:val="bottom"/>
          </w:tcPr>
          <w:p w14:paraId="1BECEF68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303E84A7" w14:textId="77777777" w:rsidTr="00155AB4">
        <w:tc>
          <w:tcPr>
            <w:tcW w:w="3823" w:type="dxa"/>
            <w:vAlign w:val="bottom"/>
          </w:tcPr>
          <w:p w14:paraId="52549A26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Related Federal Department (if any):</w:t>
            </w:r>
          </w:p>
        </w:tc>
        <w:tc>
          <w:tcPr>
            <w:tcW w:w="4675" w:type="dxa"/>
            <w:vAlign w:val="bottom"/>
          </w:tcPr>
          <w:p w14:paraId="12AA745B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3F49F3A6" w14:textId="77777777" w:rsidTr="00155AB4">
        <w:tc>
          <w:tcPr>
            <w:tcW w:w="3823" w:type="dxa"/>
            <w:vAlign w:val="bottom"/>
          </w:tcPr>
          <w:p w14:paraId="6973B9FB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Organizational Unit within the Agency (if any):</w:t>
            </w:r>
          </w:p>
        </w:tc>
        <w:tc>
          <w:tcPr>
            <w:tcW w:w="4675" w:type="dxa"/>
            <w:vAlign w:val="bottom"/>
          </w:tcPr>
          <w:p w14:paraId="17B2BEAF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629AA479" w14:textId="77777777" w:rsidTr="00155AB4">
        <w:tc>
          <w:tcPr>
            <w:tcW w:w="3823" w:type="dxa"/>
            <w:vAlign w:val="bottom"/>
          </w:tcPr>
          <w:p w14:paraId="13150A5D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FME Software support provider (name either Safe Software or a VAR):</w:t>
            </w:r>
          </w:p>
        </w:tc>
        <w:tc>
          <w:tcPr>
            <w:tcW w:w="4675" w:type="dxa"/>
            <w:vAlign w:val="bottom"/>
          </w:tcPr>
          <w:p w14:paraId="293B4A35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69ED55C0" w14:textId="77777777" w:rsidTr="00155AB4">
        <w:tc>
          <w:tcPr>
            <w:tcW w:w="3823" w:type="dxa"/>
            <w:vAlign w:val="bottom"/>
          </w:tcPr>
          <w:p w14:paraId="61A4B243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Start Date of Participation:</w:t>
            </w:r>
          </w:p>
        </w:tc>
        <w:tc>
          <w:tcPr>
            <w:tcW w:w="4675" w:type="dxa"/>
            <w:vAlign w:val="bottom"/>
          </w:tcPr>
          <w:p w14:paraId="06579B4C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FF87DB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Agencies that have previously enrolled and are simply requesting a change to their FME Software support provider can proceed directly to the signature section. </w:t>
      </w:r>
      <w:r>
        <w:rPr>
          <w:rFonts w:asciiTheme="minorHAnsi" w:hAnsiTheme="minorHAnsi" w:cstheme="minorHAnsi"/>
          <w:sz w:val="22"/>
          <w:szCs w:val="22"/>
        </w:rPr>
        <w:t>Changes to your FME Software support provider will become effective as of January 1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st</w:t>
      </w:r>
      <w:r>
        <w:rPr>
          <w:rFonts w:asciiTheme="minorHAnsi" w:hAnsiTheme="minorHAnsi" w:cstheme="minorHAnsi"/>
          <w:sz w:val="22"/>
          <w:szCs w:val="22"/>
        </w:rPr>
        <w:t xml:space="preserve"> of the next calendar year unless Safe Software has approved extenuating circumstances.</w:t>
      </w:r>
    </w:p>
    <w:p w14:paraId="760BC5FB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3CB71DD4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New enrolling Agencies </w:t>
      </w:r>
      <w:r>
        <w:rPr>
          <w:rFonts w:asciiTheme="minorHAnsi" w:hAnsiTheme="minorHAnsi" w:cstheme="minorHAnsi"/>
          <w:b/>
          <w:i/>
          <w:iCs/>
          <w:sz w:val="22"/>
          <w:szCs w:val="22"/>
          <w:lang w:val="en-US"/>
        </w:rPr>
        <w:t>without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any prior FME Software </w:t>
      </w:r>
      <w:r>
        <w:rPr>
          <w:rFonts w:asciiTheme="minorHAnsi" w:hAnsiTheme="minorHAnsi" w:cstheme="minorHAnsi"/>
          <w:b/>
          <w:i/>
          <w:iCs/>
          <w:sz w:val="22"/>
          <w:szCs w:val="22"/>
          <w:lang w:val="en-US"/>
        </w:rPr>
        <w:t>or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with FME Software with expired support, please complete Section A only.</w:t>
      </w:r>
    </w:p>
    <w:p w14:paraId="58001A5E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17006583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New enrolling Agencies </w:t>
      </w:r>
      <w:r>
        <w:rPr>
          <w:rFonts w:asciiTheme="minorHAnsi" w:hAnsiTheme="minorHAnsi" w:cstheme="minorHAnsi"/>
          <w:b/>
          <w:i/>
          <w:iCs/>
          <w:sz w:val="22"/>
          <w:szCs w:val="22"/>
          <w:lang w:val="en-US"/>
        </w:rPr>
        <w:t>with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prior FME Software that has active support, please complete Sections A &amp; B.</w:t>
      </w:r>
    </w:p>
    <w:p w14:paraId="05431282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7929B660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50468712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A) New FME Software Requested: </w:t>
      </w:r>
      <w:r>
        <w:rPr>
          <w:rFonts w:asciiTheme="minorHAnsi" w:hAnsiTheme="minorHAnsi" w:cstheme="minorHAnsi"/>
          <w:sz w:val="22"/>
          <w:szCs w:val="22"/>
          <w:lang w:val="en-US"/>
        </w:rPr>
        <w:t>List all new FME Software licenses requested at the start of your enrollment period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 xml:space="preserve">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1418"/>
      </w:tblGrid>
      <w:tr w:rsidR="009800CA" w14:paraId="29E259C0" w14:textId="77777777" w:rsidTr="00155AB4">
        <w:tc>
          <w:tcPr>
            <w:tcW w:w="283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CB8A3AB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Product Name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6BA0B4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600DB1A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Quantity</w:t>
            </w:r>
          </w:p>
        </w:tc>
      </w:tr>
      <w:tr w:rsidR="009800CA" w14:paraId="1B5C0E7F" w14:textId="77777777" w:rsidTr="00155AB4">
        <w:tc>
          <w:tcPr>
            <w:tcW w:w="2830" w:type="dxa"/>
            <w:vAlign w:val="center"/>
          </w:tcPr>
          <w:p w14:paraId="6B99E467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FME Form Fixed</w:t>
            </w:r>
          </w:p>
        </w:tc>
        <w:tc>
          <w:tcPr>
            <w:tcW w:w="5103" w:type="dxa"/>
            <w:vAlign w:val="center"/>
          </w:tcPr>
          <w:p w14:paraId="09DC3277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Fixed License</w:t>
            </w:r>
          </w:p>
        </w:tc>
        <w:tc>
          <w:tcPr>
            <w:tcW w:w="1418" w:type="dxa"/>
            <w:vAlign w:val="center"/>
          </w:tcPr>
          <w:p w14:paraId="5F88BA33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661E7537" w14:textId="77777777" w:rsidTr="00155AB4">
        <w:tc>
          <w:tcPr>
            <w:tcW w:w="2830" w:type="dxa"/>
            <w:vAlign w:val="center"/>
          </w:tcPr>
          <w:p w14:paraId="35A4DB0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FME Form Floating</w:t>
            </w:r>
          </w:p>
        </w:tc>
        <w:tc>
          <w:tcPr>
            <w:tcW w:w="5103" w:type="dxa"/>
            <w:vAlign w:val="center"/>
          </w:tcPr>
          <w:p w14:paraId="1074756A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Floating License, includes one Concurrent User</w:t>
            </w:r>
          </w:p>
        </w:tc>
        <w:tc>
          <w:tcPr>
            <w:tcW w:w="1418" w:type="dxa"/>
            <w:vAlign w:val="center"/>
          </w:tcPr>
          <w:p w14:paraId="5EC9285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025BEE9A" w14:textId="77777777" w:rsidTr="00155AB4">
        <w:tc>
          <w:tcPr>
            <w:tcW w:w="2830" w:type="dxa"/>
            <w:vAlign w:val="center"/>
          </w:tcPr>
          <w:p w14:paraId="39839B5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FME Form Concurrent User</w:t>
            </w:r>
          </w:p>
        </w:tc>
        <w:tc>
          <w:tcPr>
            <w:tcW w:w="5103" w:type="dxa"/>
            <w:vAlign w:val="center"/>
          </w:tcPr>
          <w:p w14:paraId="08EC3D91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Each additional Concurrent User for a Floating License</w:t>
            </w:r>
          </w:p>
        </w:tc>
        <w:tc>
          <w:tcPr>
            <w:tcW w:w="1418" w:type="dxa"/>
            <w:vAlign w:val="center"/>
          </w:tcPr>
          <w:p w14:paraId="6A02A409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346BF451" w14:textId="77777777" w:rsidTr="00155AB4">
        <w:trPr>
          <w:trHeight w:val="239"/>
        </w:trPr>
        <w:tc>
          <w:tcPr>
            <w:tcW w:w="2830" w:type="dxa"/>
            <w:vAlign w:val="center"/>
          </w:tcPr>
          <w:p w14:paraId="1BDD2AB1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FME Flow</w:t>
            </w:r>
          </w:p>
        </w:tc>
        <w:tc>
          <w:tcPr>
            <w:tcW w:w="5103" w:type="dxa"/>
            <w:vAlign w:val="center"/>
          </w:tcPr>
          <w:p w14:paraId="0EBB8A3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Server License, Includes one Engine</w:t>
            </w:r>
          </w:p>
        </w:tc>
        <w:tc>
          <w:tcPr>
            <w:tcW w:w="1418" w:type="dxa"/>
            <w:vAlign w:val="center"/>
          </w:tcPr>
          <w:p w14:paraId="4BB33102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705DE8C4" w14:textId="77777777" w:rsidTr="00155AB4">
        <w:trPr>
          <w:trHeight w:val="239"/>
        </w:trPr>
        <w:tc>
          <w:tcPr>
            <w:tcW w:w="2830" w:type="dxa"/>
            <w:vAlign w:val="center"/>
          </w:tcPr>
          <w:p w14:paraId="2C88920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 xml:space="preserve">FME Flow </w:t>
            </w:r>
            <w:r>
              <w:rPr>
                <w:rStyle w:val="document-editor-text"/>
                <w:rFonts w:ascii="Calibri" w:hAnsi="Calibri" w:cs="Calibri"/>
                <w:color w:val="000000"/>
                <w:sz w:val="21"/>
                <w:szCs w:val="21"/>
              </w:rPr>
              <w:t>A</w:t>
            </w: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dditional Engine</w:t>
            </w:r>
          </w:p>
        </w:tc>
        <w:tc>
          <w:tcPr>
            <w:tcW w:w="5103" w:type="dxa"/>
            <w:vAlign w:val="center"/>
          </w:tcPr>
          <w:p w14:paraId="0E57F9A2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document-editor-text"/>
                <w:rFonts w:ascii="Calibri" w:hAnsi="Calibri" w:cs="Calibri"/>
                <w:color w:val="000000"/>
                <w:sz w:val="22"/>
                <w:szCs w:val="22"/>
              </w:rPr>
              <w:t>Each additional Engine for a Server License</w:t>
            </w:r>
          </w:p>
        </w:tc>
        <w:tc>
          <w:tcPr>
            <w:tcW w:w="1418" w:type="dxa"/>
            <w:vAlign w:val="center"/>
          </w:tcPr>
          <w:p w14:paraId="60106775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78B4E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656822F3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B) Pre-Existing Licenses: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List of FME Software licenses </w:t>
      </w:r>
      <w:r>
        <w:rPr>
          <w:rFonts w:asciiTheme="minorHAnsi" w:hAnsiTheme="minorHAnsi" w:cstheme="minorHAnsi"/>
          <w:b/>
          <w:bCs/>
          <w:i/>
          <w:iCs/>
          <w:sz w:val="22"/>
          <w:szCs w:val="22"/>
          <w:lang w:val="en-US"/>
        </w:rPr>
        <w:t>previously purchased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by the Agency, which will be included for the purpose of renewing software support under the Agreement (please attach an extra page if necessary):  </w:t>
      </w:r>
    </w:p>
    <w:p w14:paraId="6711A888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sz w:val="22"/>
          <w:szCs w:val="22"/>
          <w:lang w:val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103"/>
        <w:gridCol w:w="1418"/>
      </w:tblGrid>
      <w:tr w:rsidR="009800CA" w14:paraId="1869677C" w14:textId="77777777" w:rsidTr="00155AB4">
        <w:tc>
          <w:tcPr>
            <w:tcW w:w="2830" w:type="dxa"/>
            <w:tcBorders>
              <w:bottom w:val="single" w:sz="4" w:space="0" w:color="auto"/>
            </w:tcBorders>
            <w:shd w:val="clear" w:color="auto" w:fill="E7E6E6"/>
          </w:tcPr>
          <w:p w14:paraId="2B7B4498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ind w:right="-38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Serial #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E7E6E6"/>
          </w:tcPr>
          <w:p w14:paraId="3303573B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Product Name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7E6E6"/>
          </w:tcPr>
          <w:p w14:paraId="22364E5F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Quantity</w:t>
            </w:r>
          </w:p>
        </w:tc>
      </w:tr>
      <w:tr w:rsidR="009800CA" w14:paraId="72674B43" w14:textId="77777777" w:rsidTr="00155AB4">
        <w:tc>
          <w:tcPr>
            <w:tcW w:w="2830" w:type="dxa"/>
            <w:vAlign w:val="bottom"/>
          </w:tcPr>
          <w:p w14:paraId="1EB3B2C7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ind w:right="-3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6EDE2EA4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5CB04C2D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00A80B31" w14:textId="77777777" w:rsidTr="00155AB4">
        <w:tc>
          <w:tcPr>
            <w:tcW w:w="2830" w:type="dxa"/>
            <w:vAlign w:val="bottom"/>
          </w:tcPr>
          <w:p w14:paraId="7FBF3F46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ind w:right="-3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66EB5D09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6E5CFEC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004FC02E" w14:textId="77777777" w:rsidTr="00155AB4">
        <w:tc>
          <w:tcPr>
            <w:tcW w:w="2830" w:type="dxa"/>
            <w:vAlign w:val="bottom"/>
          </w:tcPr>
          <w:p w14:paraId="49C20F12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ind w:right="-3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34C90F31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20588E17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55B75537" w14:textId="77777777" w:rsidTr="00155AB4">
        <w:tc>
          <w:tcPr>
            <w:tcW w:w="2830" w:type="dxa"/>
            <w:vAlign w:val="bottom"/>
          </w:tcPr>
          <w:p w14:paraId="0E8C648E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ind w:right="-3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3AFA45C6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2E5388E4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0CA" w14:paraId="400580CF" w14:textId="77777777" w:rsidTr="00155AB4">
        <w:tc>
          <w:tcPr>
            <w:tcW w:w="2830" w:type="dxa"/>
            <w:vAlign w:val="bottom"/>
          </w:tcPr>
          <w:p w14:paraId="754CF645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ind w:right="-38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bottom"/>
          </w:tcPr>
          <w:p w14:paraId="2490A65C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Align w:val="bottom"/>
          </w:tcPr>
          <w:p w14:paraId="5C4AE379" w14:textId="77777777" w:rsidR="009800CA" w:rsidRDefault="009800CA" w:rsidP="00155AB4">
            <w:pPr>
              <w:pStyle w:val="Normalsubparagraph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2B5599" w14:textId="77777777" w:rsidR="009800CA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sz w:val="22"/>
          <w:szCs w:val="22"/>
        </w:rPr>
      </w:pPr>
    </w:p>
    <w:p w14:paraId="4F7FA499" w14:textId="77777777" w:rsidR="009800CA" w:rsidRPr="00BD30A2" w:rsidRDefault="009800CA" w:rsidP="009800CA">
      <w:pPr>
        <w:pStyle w:val="Normalsubparagraph"/>
        <w:numPr>
          <w:ilvl w:val="0"/>
          <w:numId w:val="0"/>
        </w:num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Approved By: </w:t>
      </w:r>
    </w:p>
    <w:tbl>
      <w:tblPr>
        <w:tblW w:w="9639" w:type="dxa"/>
        <w:tblLook w:val="00A0" w:firstRow="1" w:lastRow="0" w:firstColumn="1" w:lastColumn="0" w:noHBand="0" w:noVBand="0"/>
      </w:tblPr>
      <w:tblGrid>
        <w:gridCol w:w="4394"/>
        <w:gridCol w:w="425"/>
        <w:gridCol w:w="4820"/>
      </w:tblGrid>
      <w:tr w:rsidR="009800CA" w14:paraId="75CB1ACA" w14:textId="77777777" w:rsidTr="00155AB4">
        <w:tc>
          <w:tcPr>
            <w:tcW w:w="4394" w:type="dxa"/>
          </w:tcPr>
          <w:p w14:paraId="6EDA6F80" w14:textId="77777777" w:rsidR="009800CA" w:rsidRDefault="009800CA" w:rsidP="00155AB4">
            <w:pPr>
              <w:spacing w:after="0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 w:cs="Arial"/>
                <w:b/>
                <w:sz w:val="24"/>
                <w:lang w:val="en-US"/>
              </w:rPr>
              <w:t>Agency:</w:t>
            </w:r>
          </w:p>
        </w:tc>
        <w:tc>
          <w:tcPr>
            <w:tcW w:w="425" w:type="dxa"/>
          </w:tcPr>
          <w:p w14:paraId="4CF46D3F" w14:textId="77777777" w:rsidR="009800CA" w:rsidRDefault="009800CA" w:rsidP="00155AB4">
            <w:pPr>
              <w:spacing w:after="0"/>
              <w:rPr>
                <w:rFonts w:ascii="Calibri" w:hAnsi="Calibri"/>
                <w:b/>
                <w:sz w:val="24"/>
                <w:lang w:val="en-US"/>
              </w:rPr>
            </w:pPr>
          </w:p>
        </w:tc>
        <w:tc>
          <w:tcPr>
            <w:tcW w:w="4820" w:type="dxa"/>
          </w:tcPr>
          <w:p w14:paraId="580FEB84" w14:textId="77777777" w:rsidR="009800CA" w:rsidRDefault="009800CA" w:rsidP="00155AB4">
            <w:pPr>
              <w:spacing w:after="0"/>
              <w:rPr>
                <w:rFonts w:ascii="Calibri" w:hAnsi="Calibri"/>
                <w:b/>
                <w:caps/>
                <w:sz w:val="24"/>
                <w:lang w:val="en-US"/>
              </w:rPr>
            </w:pPr>
            <w:r>
              <w:rPr>
                <w:rFonts w:ascii="Calibri" w:eastAsia="MS Mincho" w:hAnsi="Calibri" w:cs="Calibri"/>
                <w:b/>
                <w:sz w:val="24"/>
                <w:lang w:val="en-US"/>
              </w:rPr>
              <w:t>Safe Software Inc.:</w:t>
            </w:r>
          </w:p>
        </w:tc>
      </w:tr>
      <w:tr w:rsidR="009800CA" w14:paraId="698BF85C" w14:textId="77777777" w:rsidTr="00155AB4">
        <w:trPr>
          <w:trHeight w:val="756"/>
        </w:trPr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14:paraId="0BCFB08C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Signature:</w:t>
            </w:r>
          </w:p>
        </w:tc>
        <w:tc>
          <w:tcPr>
            <w:tcW w:w="425" w:type="dxa"/>
            <w:vAlign w:val="bottom"/>
          </w:tcPr>
          <w:p w14:paraId="39B49365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5F876DCB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Signature:</w:t>
            </w:r>
          </w:p>
        </w:tc>
      </w:tr>
      <w:tr w:rsidR="009800CA" w14:paraId="27F4C818" w14:textId="77777777" w:rsidTr="00155AB4">
        <w:trPr>
          <w:trHeight w:val="530"/>
        </w:trPr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14:paraId="39C3C5AD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Name:</w:t>
            </w:r>
          </w:p>
        </w:tc>
        <w:tc>
          <w:tcPr>
            <w:tcW w:w="425" w:type="dxa"/>
            <w:vAlign w:val="bottom"/>
          </w:tcPr>
          <w:p w14:paraId="2683590A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17FB8A49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Name:</w:t>
            </w:r>
          </w:p>
        </w:tc>
      </w:tr>
      <w:tr w:rsidR="009800CA" w14:paraId="1BCDFB16" w14:textId="77777777" w:rsidTr="00155AB4">
        <w:trPr>
          <w:trHeight w:val="530"/>
        </w:trPr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14:paraId="74AD15AF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Date:</w:t>
            </w:r>
          </w:p>
        </w:tc>
        <w:tc>
          <w:tcPr>
            <w:tcW w:w="425" w:type="dxa"/>
            <w:vAlign w:val="bottom"/>
          </w:tcPr>
          <w:p w14:paraId="2F25DA07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5A2A1755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Date:</w:t>
            </w:r>
          </w:p>
        </w:tc>
      </w:tr>
    </w:tbl>
    <w:p w14:paraId="4826415A" w14:textId="77777777" w:rsidR="009800CA" w:rsidRDefault="009800CA" w:rsidP="009800CA">
      <w:pPr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819" w:type="dxa"/>
        <w:tblLook w:val="00A0" w:firstRow="1" w:lastRow="0" w:firstColumn="1" w:lastColumn="0" w:noHBand="0" w:noVBand="0"/>
      </w:tblPr>
      <w:tblGrid>
        <w:gridCol w:w="4394"/>
        <w:gridCol w:w="425"/>
      </w:tblGrid>
      <w:tr w:rsidR="009800CA" w14:paraId="3F40D71E" w14:textId="77777777" w:rsidTr="00155AB4">
        <w:tc>
          <w:tcPr>
            <w:tcW w:w="4394" w:type="dxa"/>
          </w:tcPr>
          <w:p w14:paraId="7EA5E2AC" w14:textId="77777777" w:rsidR="009800CA" w:rsidRDefault="009800CA" w:rsidP="00155AB4">
            <w:pPr>
              <w:spacing w:after="0"/>
              <w:rPr>
                <w:rFonts w:ascii="Calibri" w:hAnsi="Calibri"/>
                <w:sz w:val="24"/>
                <w:lang w:val="en-US"/>
              </w:rPr>
            </w:pPr>
            <w:r>
              <w:rPr>
                <w:rFonts w:ascii="Calibri" w:hAnsi="Calibri" w:cs="Arial"/>
                <w:b/>
                <w:sz w:val="24"/>
                <w:lang w:val="en-US"/>
              </w:rPr>
              <w:br/>
              <w:t>eOperations Schweiz AG:</w:t>
            </w:r>
          </w:p>
        </w:tc>
        <w:tc>
          <w:tcPr>
            <w:tcW w:w="425" w:type="dxa"/>
          </w:tcPr>
          <w:p w14:paraId="3CF5DD8A" w14:textId="77777777" w:rsidR="009800CA" w:rsidRDefault="009800CA" w:rsidP="00155AB4">
            <w:pPr>
              <w:spacing w:after="0"/>
              <w:rPr>
                <w:rFonts w:ascii="Calibri" w:hAnsi="Calibri"/>
                <w:b/>
                <w:sz w:val="24"/>
                <w:lang w:val="en-US"/>
              </w:rPr>
            </w:pPr>
          </w:p>
        </w:tc>
      </w:tr>
      <w:tr w:rsidR="009800CA" w14:paraId="2D608917" w14:textId="77777777" w:rsidTr="00155AB4">
        <w:trPr>
          <w:trHeight w:val="756"/>
        </w:trPr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14:paraId="35896786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Signature:</w:t>
            </w:r>
          </w:p>
        </w:tc>
        <w:tc>
          <w:tcPr>
            <w:tcW w:w="425" w:type="dxa"/>
            <w:vAlign w:val="bottom"/>
          </w:tcPr>
          <w:p w14:paraId="73556069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</w:p>
        </w:tc>
      </w:tr>
      <w:tr w:rsidR="009800CA" w14:paraId="49812129" w14:textId="77777777" w:rsidTr="00155AB4">
        <w:trPr>
          <w:trHeight w:val="530"/>
        </w:trPr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14:paraId="6B781563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Name:</w:t>
            </w:r>
          </w:p>
        </w:tc>
        <w:tc>
          <w:tcPr>
            <w:tcW w:w="425" w:type="dxa"/>
            <w:vAlign w:val="bottom"/>
          </w:tcPr>
          <w:p w14:paraId="78D97597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</w:p>
        </w:tc>
      </w:tr>
      <w:tr w:rsidR="009800CA" w14:paraId="355E4580" w14:textId="77777777" w:rsidTr="00155AB4">
        <w:trPr>
          <w:trHeight w:val="530"/>
        </w:trPr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14:paraId="79E1ECBF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  <w:r>
              <w:rPr>
                <w:rFonts w:ascii="Calibri" w:hAnsi="Calibri" w:cs="Arial"/>
                <w:szCs w:val="20"/>
                <w:lang w:val="en-US"/>
              </w:rPr>
              <w:t>Date:</w:t>
            </w:r>
          </w:p>
        </w:tc>
        <w:tc>
          <w:tcPr>
            <w:tcW w:w="425" w:type="dxa"/>
            <w:vAlign w:val="bottom"/>
          </w:tcPr>
          <w:p w14:paraId="6B4446D5" w14:textId="77777777" w:rsidR="009800CA" w:rsidRDefault="009800CA" w:rsidP="00155AB4">
            <w:pPr>
              <w:spacing w:after="0"/>
              <w:rPr>
                <w:rFonts w:ascii="Calibri" w:hAnsi="Calibri" w:cs="Arial"/>
                <w:szCs w:val="20"/>
                <w:lang w:val="en-US"/>
              </w:rPr>
            </w:pPr>
          </w:p>
        </w:tc>
      </w:tr>
    </w:tbl>
    <w:p w14:paraId="0D6D5AA4" w14:textId="77777777" w:rsidR="00F948B7" w:rsidRDefault="00F948B7"/>
    <w:sectPr w:rsidR="00F948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75B83"/>
    <w:multiLevelType w:val="hybridMultilevel"/>
    <w:tmpl w:val="0108E4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D11D6"/>
    <w:multiLevelType w:val="hybridMultilevel"/>
    <w:tmpl w:val="9A7E64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B36EF"/>
    <w:multiLevelType w:val="multilevel"/>
    <w:tmpl w:val="6ECE386E"/>
    <w:lvl w:ilvl="0">
      <w:start w:val="1"/>
      <w:numFmt w:val="decimal"/>
      <w:pStyle w:val="MarginHeading"/>
      <w:isLgl/>
      <w:lvlText w:val="%1.0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NormalNumbered"/>
      <w:isLgl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lowerLetter"/>
      <w:pStyle w:val="Normalsubparagraph"/>
      <w:lvlText w:val="%3."/>
      <w:lvlJc w:val="left"/>
      <w:pPr>
        <w:tabs>
          <w:tab w:val="num" w:pos="1080"/>
        </w:tabs>
        <w:ind w:left="567" w:hanging="567"/>
      </w:pPr>
      <w:rPr>
        <w:rFonts w:asciiTheme="minorHAnsi" w:hAnsiTheme="minorHAns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132043883">
    <w:abstractNumId w:val="2"/>
  </w:num>
  <w:num w:numId="2" w16cid:durableId="1429932811">
    <w:abstractNumId w:val="1"/>
  </w:num>
  <w:num w:numId="3" w16cid:durableId="416559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0CA"/>
    <w:rsid w:val="003600A2"/>
    <w:rsid w:val="004D28FB"/>
    <w:rsid w:val="004F78C2"/>
    <w:rsid w:val="00872159"/>
    <w:rsid w:val="009800CA"/>
    <w:rsid w:val="00F9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95ABD"/>
  <w15:chartTrackingRefBased/>
  <w15:docId w15:val="{5E7EC6EB-E773-41D5-8CF3-F94FF337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00CA"/>
    <w:pPr>
      <w:spacing w:after="240" w:line="240" w:lineRule="auto"/>
    </w:pPr>
    <w:rPr>
      <w:rFonts w:ascii="Arial" w:eastAsia="Times New Roman" w:hAnsi="Arial" w:cs="Times New Roman"/>
      <w:kern w:val="0"/>
      <w:sz w:val="20"/>
      <w:szCs w:val="24"/>
      <w:lang w:val="en-CA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80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80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9800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80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800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0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0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0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0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800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800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9800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800CA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800CA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00C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00C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00C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00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800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0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0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0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80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00CA"/>
    <w:rPr>
      <w:i/>
      <w:iCs/>
      <w:color w:val="404040" w:themeColor="text1" w:themeTint="BF"/>
    </w:rPr>
  </w:style>
  <w:style w:type="paragraph" w:styleId="Listenabsatz">
    <w:name w:val="List Paragraph"/>
    <w:basedOn w:val="Standard"/>
    <w:link w:val="ListenabsatzZchn"/>
    <w:uiPriority w:val="34"/>
    <w:qFormat/>
    <w:rsid w:val="009800C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800CA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00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00CA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800CA"/>
    <w:rPr>
      <w:b/>
      <w:bCs/>
      <w:smallCaps/>
      <w:color w:val="2F5496" w:themeColor="accent1" w:themeShade="BF"/>
      <w:spacing w:val="5"/>
    </w:rPr>
  </w:style>
  <w:style w:type="paragraph" w:customStyle="1" w:styleId="MarginHeading">
    <w:name w:val="Margin Heading"/>
    <w:basedOn w:val="Standard"/>
    <w:rsid w:val="009800CA"/>
    <w:pPr>
      <w:keepNext/>
      <w:numPr>
        <w:numId w:val="1"/>
      </w:numPr>
    </w:pPr>
    <w:rPr>
      <w:rFonts w:eastAsia="MS Mincho"/>
      <w:b/>
      <w:caps/>
    </w:rPr>
  </w:style>
  <w:style w:type="paragraph" w:customStyle="1" w:styleId="NormalNumbered">
    <w:name w:val="Normal Numbered"/>
    <w:basedOn w:val="Standard"/>
    <w:rsid w:val="009800CA"/>
    <w:pPr>
      <w:numPr>
        <w:ilvl w:val="1"/>
        <w:numId w:val="1"/>
      </w:numPr>
    </w:pPr>
  </w:style>
  <w:style w:type="paragraph" w:customStyle="1" w:styleId="Normalsubparagraph">
    <w:name w:val="Normal subparagraph"/>
    <w:basedOn w:val="Standard"/>
    <w:rsid w:val="009800CA"/>
    <w:pPr>
      <w:numPr>
        <w:ilvl w:val="2"/>
        <w:numId w:val="1"/>
      </w:numPr>
    </w:pPr>
    <w:rPr>
      <w:rFonts w:eastAsia="MS Mincho"/>
    </w:rPr>
  </w:style>
  <w:style w:type="table" w:styleId="Tabellenraster">
    <w:name w:val="Table Grid"/>
    <w:basedOn w:val="NormaleTabelle"/>
    <w:rsid w:val="009800CA"/>
    <w:pPr>
      <w:spacing w:after="24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  <w:rsid w:val="009800CA"/>
  </w:style>
  <w:style w:type="character" w:customStyle="1" w:styleId="document-editor-text">
    <w:name w:val="document-editor-text"/>
    <w:basedOn w:val="Absatz-Standardschriftart"/>
    <w:rsid w:val="00980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Schindler</dc:creator>
  <cp:keywords/>
  <dc:description/>
  <cp:lastModifiedBy>Volker Schindler</cp:lastModifiedBy>
  <cp:revision>2</cp:revision>
  <dcterms:created xsi:type="dcterms:W3CDTF">2025-07-25T07:36:00Z</dcterms:created>
  <dcterms:modified xsi:type="dcterms:W3CDTF">2025-07-25T07:41:00Z</dcterms:modified>
</cp:coreProperties>
</file>